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N° 2 FORMULARIO DE VENTAS DIARIAS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Nombre Postulante:_________________________________________________________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Nombre Emprendimiento:____________________________________________________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Esta encuesta y registro son de carácter obligatorio, el monto de las ventas es netamente un indicador del aporte de estas instancias o eventos al desarrollo económico de la comuna.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EMPRENDIMIENTO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MARQUE CON UNA X SU RUBRO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ARTESANÍA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FOODTRUCK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CERVECERÍA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JUEGOS INFLABLES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CARROS PEQUEÑOS DE ARRASTRE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OTRA ACTIVIDADES AL AIRE LIBRE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DETALLE DE VENTAS DIARIAS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El presente informe tiene un carácter exclusivamente investigativo (ser real con el dato monetario entregado), con el propósito de dar continuidad a estas iniciativas y fomentar el crecimiento de los emprendedores locales.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VIERNES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SÁBADO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DOMINGO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=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